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2710A338" w:rsidR="008C29B0" w:rsidRPr="00195185" w:rsidRDefault="00CC45B3" w:rsidP="00CC45B3">
      <w:pPr>
        <w:pStyle w:val="StandardWeb"/>
        <w:rPr>
          <w:rFonts w:ascii="Arial" w:hAnsi="Arial" w:cs="Arial"/>
          <w:b/>
          <w:sz w:val="36"/>
          <w:szCs w:val="36"/>
        </w:rPr>
      </w:pPr>
      <w:r w:rsidRPr="00CC45B3">
        <w:rPr>
          <w:rFonts w:ascii="Arial" w:hAnsi="Arial" w:cs="Arial"/>
          <w:b/>
          <w:sz w:val="36"/>
          <w:szCs w:val="36"/>
        </w:rPr>
        <w:t>Lastenräder und Gartenraritäten auf dem Therese-von-Bayern-Platz</w:t>
      </w:r>
    </w:p>
    <w:p w14:paraId="46503ECE" w14:textId="385D37A3" w:rsidR="00846B47" w:rsidRDefault="00CC45B3" w:rsidP="00CC45B3">
      <w:pPr>
        <w:pStyle w:val="StandardWeb"/>
        <w:rPr>
          <w:rFonts w:ascii="Arial" w:hAnsi="Arial" w:cs="Arial"/>
          <w:b/>
        </w:rPr>
      </w:pPr>
      <w:r w:rsidRPr="00CC45B3">
        <w:rPr>
          <w:rFonts w:ascii="Arial" w:hAnsi="Arial" w:cs="Arial"/>
          <w:b/>
        </w:rPr>
        <w:t>Lindau Tourismus und Kongress GmbH beteiligt sich am 27. September an den Deutschen Aktionstagen Nachhaltigkeit</w:t>
      </w:r>
    </w:p>
    <w:p w14:paraId="3C40E1D3" w14:textId="77777777" w:rsidR="00CC45B3" w:rsidRPr="00CC45B3" w:rsidRDefault="00CC45B3" w:rsidP="00CC45B3">
      <w:pPr>
        <w:pStyle w:val="StandardWeb"/>
        <w:spacing w:line="360" w:lineRule="auto"/>
        <w:rPr>
          <w:rFonts w:ascii="Arial" w:eastAsiaTheme="minorEastAsia" w:hAnsi="Arial" w:cs="Arial"/>
          <w:sz w:val="22"/>
          <w:szCs w:val="22"/>
        </w:rPr>
      </w:pPr>
      <w:r w:rsidRPr="00CC45B3">
        <w:rPr>
          <w:rFonts w:ascii="Arial" w:eastAsiaTheme="minorEastAsia" w:hAnsi="Arial" w:cs="Arial"/>
          <w:sz w:val="22"/>
          <w:szCs w:val="22"/>
        </w:rPr>
        <w:t>Wer am 27. September zum Abendmarkt auf der Lindauer Insel geht, sollte einen Stopp auf dem Therese-von-Bayern-Platz machen, um dort zum Beispiel einen Schluck Wein vom Lindauer Öko-Weingut 2H zu probieren, sich über Gartenraritäten zu informieren oder eine Runde mit dem Lastenfahrrad zu drehen. Mehrere Unternehmen und lokale Akteure beteiligen sich auf Einladung der Lindau Tourismus und Kongress GmbH (LTK) an den Deutschen Aktionstagen Nachhaltigkeit, die noch bis zum 8. Oktober für mehr Umweltbewusstsein werben sollen. Ziel der Aktionstage ist es, vorbildliches Engagement sichtbar zu machen und mehr Menschen dazu zu bewegen, unsere Gesellschaft ökologisch, wirtschaftlich und sozial nachhaltiger zu machen.</w:t>
      </w:r>
    </w:p>
    <w:p w14:paraId="202437D1" w14:textId="77777777" w:rsidR="00CC45B3" w:rsidRPr="00CC45B3" w:rsidRDefault="00CC45B3" w:rsidP="00CC45B3">
      <w:pPr>
        <w:pStyle w:val="StandardWeb"/>
        <w:spacing w:line="360" w:lineRule="auto"/>
        <w:rPr>
          <w:rFonts w:ascii="Arial" w:eastAsiaTheme="minorEastAsia" w:hAnsi="Arial" w:cs="Arial"/>
          <w:sz w:val="22"/>
          <w:szCs w:val="22"/>
        </w:rPr>
      </w:pPr>
      <w:r w:rsidRPr="00CC45B3">
        <w:rPr>
          <w:rFonts w:ascii="Arial" w:eastAsiaTheme="minorEastAsia" w:hAnsi="Arial" w:cs="Arial"/>
          <w:sz w:val="22"/>
          <w:szCs w:val="22"/>
        </w:rPr>
        <w:t>Beim Lindauer Aktionstag vor der Inselhalle, am 27. September ab 16 Uhr, präsentiert sich deshalb neben der Lokalen Agenda 21 und dem Umweltmobil der Stadt Lindau auch das Modellprojekt „Lastenrad mieten, Kommunen entlasten“. Die mit leistungsstarken E-Motoren ausgestatteten Lastenräder sind eine gute Alternative zum Auto, werden an acht verschiedenen Standorten in der Stadt verliehen und können mit bis zu 70 Kilogramm beladen werden.</w:t>
      </w:r>
    </w:p>
    <w:p w14:paraId="48233812" w14:textId="77777777" w:rsidR="00CC45B3" w:rsidRDefault="00CC45B3" w:rsidP="00CC45B3">
      <w:pPr>
        <w:pStyle w:val="StandardWeb"/>
        <w:spacing w:line="360" w:lineRule="auto"/>
        <w:rPr>
          <w:rFonts w:ascii="Arial" w:eastAsiaTheme="minorEastAsia" w:hAnsi="Arial" w:cs="Arial"/>
          <w:sz w:val="22"/>
          <w:szCs w:val="22"/>
        </w:rPr>
      </w:pPr>
      <w:r w:rsidRPr="00CC45B3">
        <w:rPr>
          <w:rFonts w:ascii="Arial" w:eastAsiaTheme="minorEastAsia" w:hAnsi="Arial" w:cs="Arial"/>
          <w:sz w:val="22"/>
          <w:szCs w:val="22"/>
        </w:rPr>
        <w:t xml:space="preserve">Für nachhaltige Lebensmittel setzt sich ein weiterer Aussteller beim Aktionstag ein: Die Initiative Gemüseraritäten </w:t>
      </w:r>
      <w:proofErr w:type="spellStart"/>
      <w:r w:rsidRPr="00CC45B3">
        <w:rPr>
          <w:rFonts w:ascii="Arial" w:eastAsiaTheme="minorEastAsia" w:hAnsi="Arial" w:cs="Arial"/>
          <w:sz w:val="22"/>
          <w:szCs w:val="22"/>
        </w:rPr>
        <w:t>Tatgut</w:t>
      </w:r>
      <w:proofErr w:type="spellEnd"/>
      <w:r w:rsidRPr="00CC45B3">
        <w:rPr>
          <w:rFonts w:ascii="Arial" w:eastAsiaTheme="minorEastAsia" w:hAnsi="Arial" w:cs="Arial"/>
          <w:sz w:val="22"/>
          <w:szCs w:val="22"/>
        </w:rPr>
        <w:t xml:space="preserve"> wurde 2020 in Tettnang gegründet, um dazu beizutragen, die Kulturpflanzenvielfalt zu erhalten. Bei der Produktion von sogenannten samenfesten Sorten für die Hausgärten stehen vor allem alte Regionalsorten im Vordergrund sowie Robustheit und Besonderheiten in Geschmack, Farbe und Form. </w:t>
      </w:r>
    </w:p>
    <w:p w14:paraId="287E1070" w14:textId="3B690CF7" w:rsidR="00CC45B3" w:rsidRPr="00CC45B3" w:rsidRDefault="00CC45B3" w:rsidP="00CC45B3">
      <w:pPr>
        <w:pStyle w:val="StandardWeb"/>
        <w:spacing w:line="360" w:lineRule="auto"/>
        <w:rPr>
          <w:rFonts w:ascii="Arial" w:eastAsiaTheme="minorEastAsia" w:hAnsi="Arial" w:cs="Arial"/>
          <w:sz w:val="22"/>
          <w:szCs w:val="22"/>
        </w:rPr>
      </w:pPr>
      <w:r w:rsidRPr="00CC45B3">
        <w:rPr>
          <w:rFonts w:ascii="Arial" w:eastAsiaTheme="minorEastAsia" w:hAnsi="Arial" w:cs="Arial"/>
          <w:sz w:val="22"/>
          <w:szCs w:val="22"/>
        </w:rPr>
        <w:lastRenderedPageBreak/>
        <w:t>Das ebenfalls vertretene Weingut 2H aus Lindau, ein „ECHT nachhaltig“-Partner der DBT, führt den Hof von Beginn an ökologisch und hat sich auf pilz-widerstandsfähige Sorten (PIWIs) spezialisiert. Beim Anbau dieser Sorten werden keine Pflanzenschutzmittel eingesetzt.</w:t>
      </w:r>
    </w:p>
    <w:p w14:paraId="0749656B" w14:textId="77777777" w:rsidR="00CC45B3" w:rsidRPr="00CC45B3" w:rsidRDefault="00CC45B3" w:rsidP="00CC45B3">
      <w:pPr>
        <w:pStyle w:val="StandardWeb"/>
        <w:spacing w:line="360" w:lineRule="auto"/>
        <w:rPr>
          <w:rFonts w:ascii="Arial" w:eastAsiaTheme="minorEastAsia" w:hAnsi="Arial" w:cs="Arial"/>
          <w:sz w:val="22"/>
          <w:szCs w:val="22"/>
        </w:rPr>
      </w:pPr>
      <w:r w:rsidRPr="00CC45B3">
        <w:rPr>
          <w:rFonts w:ascii="Arial" w:eastAsiaTheme="minorEastAsia" w:hAnsi="Arial" w:cs="Arial"/>
          <w:sz w:val="22"/>
          <w:szCs w:val="22"/>
        </w:rPr>
        <w:t xml:space="preserve">Regionale Kunst und handwerkliche Produkte mit Bezug zum Bodensee sind beim Aktionstag durch „Die Handlung. Ladengemeinschaft Lindauer </w:t>
      </w:r>
      <w:proofErr w:type="spellStart"/>
      <w:r w:rsidRPr="00CC45B3">
        <w:rPr>
          <w:rFonts w:ascii="Arial" w:eastAsiaTheme="minorEastAsia" w:hAnsi="Arial" w:cs="Arial"/>
          <w:sz w:val="22"/>
          <w:szCs w:val="22"/>
        </w:rPr>
        <w:t>HandWerk</w:t>
      </w:r>
      <w:proofErr w:type="spellEnd"/>
      <w:r w:rsidRPr="00CC45B3">
        <w:rPr>
          <w:rFonts w:ascii="Arial" w:eastAsiaTheme="minorEastAsia" w:hAnsi="Arial" w:cs="Arial"/>
          <w:sz w:val="22"/>
          <w:szCs w:val="22"/>
        </w:rPr>
        <w:t xml:space="preserve">“ vertreten. Das ist eine Art Concept Store von zehn Künstler/innen und Handwerker/innen auf der Lindauer Insel, in dem sich </w:t>
      </w:r>
      <w:proofErr w:type="gramStart"/>
      <w:r w:rsidRPr="00CC45B3">
        <w:rPr>
          <w:rFonts w:ascii="Arial" w:eastAsiaTheme="minorEastAsia" w:hAnsi="Arial" w:cs="Arial"/>
          <w:sz w:val="22"/>
          <w:szCs w:val="22"/>
        </w:rPr>
        <w:t>die Produzent</w:t>
      </w:r>
      <w:proofErr w:type="gramEnd"/>
      <w:r w:rsidRPr="00CC45B3">
        <w:rPr>
          <w:rFonts w:ascii="Arial" w:eastAsiaTheme="minorEastAsia" w:hAnsi="Arial" w:cs="Arial"/>
          <w:sz w:val="22"/>
          <w:szCs w:val="22"/>
        </w:rPr>
        <w:t>/innen im Verkauf abwechseln. Dort gibt es unter anderem Vasen, die aus Glasflaschen-Upcycling entstanden sind, Schmuck aus verarbeitetem Altgold, Selbstgeschneidertes und Taschen aus recycelter Plane oder ehemaligen Segeln.</w:t>
      </w:r>
    </w:p>
    <w:p w14:paraId="3AEFE2C6" w14:textId="4A7E263D" w:rsidR="00846B47" w:rsidRPr="00CC45B3" w:rsidRDefault="00CC45B3" w:rsidP="00CC45B3">
      <w:pPr>
        <w:pStyle w:val="StandardWeb"/>
        <w:spacing w:line="360" w:lineRule="auto"/>
        <w:rPr>
          <w:rFonts w:ascii="Arial" w:eastAsiaTheme="minorEastAsia" w:hAnsi="Arial" w:cs="Arial"/>
          <w:sz w:val="22"/>
          <w:szCs w:val="22"/>
        </w:rPr>
      </w:pPr>
      <w:r w:rsidRPr="00CC45B3">
        <w:rPr>
          <w:rFonts w:ascii="Arial" w:eastAsiaTheme="minorEastAsia" w:hAnsi="Arial" w:cs="Arial"/>
          <w:sz w:val="22"/>
          <w:szCs w:val="22"/>
        </w:rPr>
        <w:t xml:space="preserve">Alle Aussteller in Lindau tragen auf ihre jeweils eigene Weise dazu bei, sich für eine nachhaltigere Welt einzusetzen. Die Deutschen Aktionstage für Nachhaltigkeit sollen bundesweit Ideen, Innovationen und bestehendes Engagement sichtbar machen. Eingeladen sind dazu alle, die zur Umsetzung der 17 globalen Nachhaltigkeitsziele, </w:t>
      </w:r>
      <w:proofErr w:type="spellStart"/>
      <w:r w:rsidRPr="00CC45B3">
        <w:rPr>
          <w:rFonts w:ascii="Arial" w:eastAsiaTheme="minorEastAsia" w:hAnsi="Arial" w:cs="Arial"/>
          <w:sz w:val="22"/>
          <w:szCs w:val="22"/>
        </w:rPr>
        <w:t>Sustainable</w:t>
      </w:r>
      <w:proofErr w:type="spellEnd"/>
      <w:r w:rsidRPr="00CC45B3">
        <w:rPr>
          <w:rFonts w:ascii="Arial" w:eastAsiaTheme="minorEastAsia" w:hAnsi="Arial" w:cs="Arial"/>
          <w:sz w:val="22"/>
          <w:szCs w:val="22"/>
        </w:rPr>
        <w:t xml:space="preserve"> Development Goals (SDGs), beitragen möchten, egal ob Behörde, Kommune, Bildungs- oder soziale Einrichtung, Initiative, Verein, Stiftung, Kirche, Unternehmen oder Privatperson. Alle Veranstaltungen sind auch auf der Webseite des Gemeinschaftswerks Nachhaltigkeit aufgelistet: gemeinschaftswerk-nachhaltigkeit.de/aktions-tage</w:t>
      </w:r>
    </w:p>
    <w:p w14:paraId="452F0BA7" w14:textId="77777777" w:rsidR="00362517" w:rsidRPr="007C0A59" w:rsidRDefault="00362517" w:rsidP="00B52C70">
      <w:pPr>
        <w:spacing w:after="0"/>
        <w:rPr>
          <w:rFonts w:ascii="Arial" w:hAnsi="Arial" w:cs="Arial"/>
          <w:b/>
          <w:sz w:val="18"/>
          <w:szCs w:val="18"/>
        </w:rPr>
      </w:pPr>
      <w:r w:rsidRPr="007C0A59">
        <w:rPr>
          <w:rFonts w:ascii="Arial" w:hAnsi="Arial" w:cs="Arial"/>
          <w:b/>
          <w:sz w:val="18"/>
          <w:szCs w:val="18"/>
        </w:rPr>
        <w:t>Lindau im Bodensee: das Herzstück der Bayerischen Riviera</w:t>
      </w:r>
    </w:p>
    <w:p w14:paraId="38DEE5F4" w14:textId="77777777" w:rsidR="00362517" w:rsidRDefault="00362517" w:rsidP="00B52C70">
      <w:pPr>
        <w:spacing w:after="0"/>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718354C7" w14:textId="5514B804" w:rsidR="00FF56D2" w:rsidRDefault="00FF56D2" w:rsidP="00B52C70">
      <w:pPr>
        <w:spacing w:after="0"/>
        <w:rPr>
          <w:rFonts w:ascii="Arial" w:hAnsi="Arial" w:cs="Arial"/>
          <w:b/>
          <w:sz w:val="18"/>
          <w:szCs w:val="18"/>
        </w:rPr>
      </w:pPr>
    </w:p>
    <w:p w14:paraId="6BC32C2D" w14:textId="77777777" w:rsidR="00A91A26" w:rsidRDefault="00A91A26" w:rsidP="00B52C70">
      <w:pPr>
        <w:spacing w:after="0"/>
        <w:rPr>
          <w:rFonts w:ascii="Arial" w:hAnsi="Arial" w:cs="Arial"/>
          <w:b/>
          <w:sz w:val="18"/>
          <w:szCs w:val="18"/>
        </w:rPr>
      </w:pPr>
    </w:p>
    <w:p w14:paraId="2E455445" w14:textId="77777777" w:rsidR="00CC45B3" w:rsidRDefault="00CC45B3" w:rsidP="00A91A26">
      <w:pPr>
        <w:spacing w:after="0"/>
        <w:rPr>
          <w:rFonts w:ascii="Arial" w:hAnsi="Arial" w:cs="Arial"/>
          <w:b/>
          <w:sz w:val="18"/>
          <w:szCs w:val="18"/>
        </w:rPr>
      </w:pPr>
    </w:p>
    <w:p w14:paraId="101E3D43" w14:textId="77777777" w:rsidR="00CC45B3" w:rsidRDefault="00CC45B3" w:rsidP="00A91A26">
      <w:pPr>
        <w:spacing w:after="0"/>
        <w:rPr>
          <w:rFonts w:ascii="Arial" w:hAnsi="Arial" w:cs="Arial"/>
          <w:b/>
          <w:sz w:val="18"/>
          <w:szCs w:val="18"/>
        </w:rPr>
      </w:pPr>
    </w:p>
    <w:p w14:paraId="52127CC6" w14:textId="77777777" w:rsidR="00CC45B3" w:rsidRDefault="00CC45B3" w:rsidP="00A91A26">
      <w:pPr>
        <w:spacing w:after="0"/>
        <w:rPr>
          <w:rFonts w:ascii="Arial" w:hAnsi="Arial" w:cs="Arial"/>
          <w:b/>
          <w:sz w:val="18"/>
          <w:szCs w:val="18"/>
        </w:rPr>
      </w:pPr>
    </w:p>
    <w:p w14:paraId="67695632" w14:textId="77777777" w:rsidR="00CC45B3" w:rsidRDefault="00CC45B3" w:rsidP="00A91A26">
      <w:pPr>
        <w:spacing w:after="0"/>
        <w:rPr>
          <w:rFonts w:ascii="Arial" w:hAnsi="Arial" w:cs="Arial"/>
          <w:b/>
          <w:sz w:val="18"/>
          <w:szCs w:val="18"/>
        </w:rPr>
      </w:pPr>
    </w:p>
    <w:p w14:paraId="1AFD84A3" w14:textId="77777777" w:rsidR="00CC45B3" w:rsidRDefault="00CC45B3" w:rsidP="00A91A26">
      <w:pPr>
        <w:spacing w:after="0"/>
        <w:rPr>
          <w:rFonts w:ascii="Arial" w:hAnsi="Arial" w:cs="Arial"/>
          <w:b/>
          <w:sz w:val="18"/>
          <w:szCs w:val="18"/>
        </w:rPr>
      </w:pPr>
    </w:p>
    <w:p w14:paraId="519F9F13" w14:textId="77777777" w:rsidR="00CC45B3" w:rsidRDefault="00CC45B3" w:rsidP="00A91A26">
      <w:pPr>
        <w:spacing w:after="0"/>
        <w:rPr>
          <w:rFonts w:ascii="Arial" w:hAnsi="Arial" w:cs="Arial"/>
          <w:b/>
          <w:sz w:val="18"/>
          <w:szCs w:val="18"/>
        </w:rPr>
      </w:pPr>
    </w:p>
    <w:p w14:paraId="57416631" w14:textId="77777777" w:rsidR="00CC45B3" w:rsidRDefault="00CC45B3" w:rsidP="00A91A26">
      <w:pPr>
        <w:spacing w:after="0"/>
        <w:rPr>
          <w:rFonts w:ascii="Arial" w:hAnsi="Arial" w:cs="Arial"/>
          <w:b/>
          <w:sz w:val="18"/>
          <w:szCs w:val="18"/>
        </w:rPr>
      </w:pPr>
    </w:p>
    <w:p w14:paraId="5476D31D" w14:textId="77777777" w:rsidR="00CC45B3" w:rsidRDefault="00CC45B3" w:rsidP="00A91A26">
      <w:pPr>
        <w:spacing w:after="0"/>
        <w:rPr>
          <w:rFonts w:ascii="Arial" w:hAnsi="Arial" w:cs="Arial"/>
          <w:b/>
          <w:sz w:val="18"/>
          <w:szCs w:val="18"/>
        </w:rPr>
      </w:pPr>
    </w:p>
    <w:p w14:paraId="75EA5FC5" w14:textId="77777777" w:rsidR="00CC45B3" w:rsidRDefault="00CC45B3" w:rsidP="00A91A26">
      <w:pPr>
        <w:spacing w:after="0"/>
        <w:rPr>
          <w:rFonts w:ascii="Arial" w:hAnsi="Arial" w:cs="Arial"/>
          <w:b/>
          <w:sz w:val="18"/>
          <w:szCs w:val="18"/>
        </w:rPr>
      </w:pPr>
    </w:p>
    <w:p w14:paraId="5A1C11A0" w14:textId="6D8DD9D3" w:rsidR="00897D37" w:rsidRDefault="00022122" w:rsidP="00A91A26">
      <w:pPr>
        <w:spacing w:after="0"/>
        <w:rPr>
          <w:rFonts w:ascii="Arial" w:hAnsi="Arial" w:cs="Arial"/>
          <w:b/>
          <w:sz w:val="18"/>
          <w:szCs w:val="18"/>
        </w:rPr>
      </w:pPr>
      <w:r w:rsidRPr="00362517">
        <w:rPr>
          <w:rFonts w:ascii="Arial" w:hAnsi="Arial" w:cs="Arial"/>
          <w:b/>
          <w:sz w:val="18"/>
          <w:szCs w:val="18"/>
        </w:rPr>
        <w:lastRenderedPageBreak/>
        <w:t>Bildmaterial</w:t>
      </w:r>
    </w:p>
    <w:p w14:paraId="61B43AB9" w14:textId="0B47F0EC" w:rsidR="00A91A26" w:rsidRDefault="00A91A26" w:rsidP="00A91A26">
      <w:pPr>
        <w:keepNext/>
        <w:spacing w:after="0"/>
        <w:rPr>
          <w:i/>
          <w:iCs/>
          <w:sz w:val="18"/>
          <w:szCs w:val="18"/>
        </w:rPr>
      </w:pPr>
      <w:r>
        <w:rPr>
          <w:i/>
          <w:iCs/>
          <w:noProof/>
          <w:sz w:val="18"/>
          <w:szCs w:val="18"/>
        </w:rPr>
        <w:drawing>
          <wp:inline distT="0" distB="0" distL="0" distR="0" wp14:anchorId="526C4671" wp14:editId="2B6B44B2">
            <wp:extent cx="2700000" cy="1800000"/>
            <wp:effectExtent l="0" t="0" r="5715" b="0"/>
            <wp:docPr id="63345922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59226"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Pr>
          <w:i/>
          <w:iCs/>
          <w:sz w:val="18"/>
          <w:szCs w:val="18"/>
        </w:rPr>
        <w:t xml:space="preserve">   </w:t>
      </w:r>
      <w:r>
        <w:rPr>
          <w:i/>
          <w:iCs/>
          <w:sz w:val="18"/>
          <w:szCs w:val="18"/>
        </w:rPr>
        <w:tab/>
      </w:r>
    </w:p>
    <w:p w14:paraId="5A3DB5C1" w14:textId="2917FF9F" w:rsidR="00A91A26" w:rsidRPr="00A91A26" w:rsidRDefault="00CC45B3" w:rsidP="00A91A26">
      <w:pPr>
        <w:spacing w:after="0"/>
        <w:rPr>
          <w:rFonts w:ascii="Arial" w:hAnsi="Arial" w:cs="Arial"/>
          <w:bCs/>
          <w:i/>
          <w:iCs/>
          <w:sz w:val="18"/>
          <w:szCs w:val="18"/>
        </w:rPr>
      </w:pPr>
      <w:r>
        <w:rPr>
          <w:rFonts w:ascii="Arial" w:hAnsi="Arial" w:cs="Arial"/>
          <w:bCs/>
          <w:i/>
          <w:iCs/>
          <w:sz w:val="18"/>
          <w:szCs w:val="18"/>
        </w:rPr>
        <w:t>Lastenräder auf dem Therese-von-Bayern-</w:t>
      </w:r>
      <w:proofErr w:type="gramStart"/>
      <w:r>
        <w:rPr>
          <w:rFonts w:ascii="Arial" w:hAnsi="Arial" w:cs="Arial"/>
          <w:bCs/>
          <w:i/>
          <w:iCs/>
          <w:sz w:val="18"/>
          <w:szCs w:val="18"/>
        </w:rPr>
        <w:t xml:space="preserve">Platz </w:t>
      </w:r>
      <w:r w:rsidR="00A91A26" w:rsidRPr="00A91A26">
        <w:rPr>
          <w:rFonts w:ascii="Arial" w:hAnsi="Arial" w:cs="Arial"/>
          <w:bCs/>
          <w:i/>
          <w:iCs/>
          <w:sz w:val="18"/>
          <w:szCs w:val="18"/>
        </w:rPr>
        <w:t xml:space="preserve"> </w:t>
      </w:r>
      <w:r w:rsidR="00A91A26">
        <w:rPr>
          <w:rFonts w:ascii="Arial" w:hAnsi="Arial" w:cs="Arial"/>
          <w:bCs/>
          <w:i/>
          <w:iCs/>
          <w:sz w:val="18"/>
          <w:szCs w:val="18"/>
        </w:rPr>
        <w:tab/>
      </w:r>
      <w:proofErr w:type="gramEnd"/>
      <w:r w:rsidR="00A91A26">
        <w:rPr>
          <w:rFonts w:ascii="Arial" w:hAnsi="Arial" w:cs="Arial"/>
          <w:bCs/>
          <w:i/>
          <w:iCs/>
          <w:sz w:val="18"/>
          <w:szCs w:val="18"/>
        </w:rPr>
        <w:tab/>
      </w:r>
      <w:r w:rsidR="00A91A26">
        <w:rPr>
          <w:rFonts w:ascii="Arial" w:hAnsi="Arial" w:cs="Arial"/>
          <w:bCs/>
          <w:i/>
          <w:iCs/>
          <w:sz w:val="18"/>
          <w:szCs w:val="18"/>
        </w:rPr>
        <w:br/>
      </w:r>
      <w:r w:rsidR="00A91A26" w:rsidRPr="00A91A26">
        <w:rPr>
          <w:rFonts w:ascii="Arial" w:hAnsi="Arial" w:cs="Arial"/>
          <w:bCs/>
          <w:i/>
          <w:iCs/>
          <w:sz w:val="18"/>
          <w:szCs w:val="18"/>
        </w:rPr>
        <w:t>© Lindau Tourismus | Foto: Frederik Sams</w:t>
      </w:r>
      <w:r w:rsidR="00A91A26">
        <w:rPr>
          <w:rFonts w:ascii="Arial" w:hAnsi="Arial" w:cs="Arial"/>
          <w:bCs/>
          <w:i/>
          <w:iCs/>
          <w:sz w:val="18"/>
          <w:szCs w:val="18"/>
        </w:rPr>
        <w:tab/>
      </w:r>
      <w:r w:rsidR="00A91A26">
        <w:rPr>
          <w:rFonts w:ascii="Arial" w:hAnsi="Arial" w:cs="Arial"/>
          <w:bCs/>
          <w:i/>
          <w:iCs/>
          <w:sz w:val="18"/>
          <w:szCs w:val="18"/>
        </w:rPr>
        <w:tab/>
      </w:r>
      <w:r w:rsidR="00A91A26">
        <w:rPr>
          <w:rFonts w:ascii="Arial" w:hAnsi="Arial" w:cs="Arial"/>
          <w:bCs/>
          <w:i/>
          <w:iCs/>
          <w:sz w:val="18"/>
          <w:szCs w:val="18"/>
        </w:rPr>
        <w:tab/>
      </w:r>
    </w:p>
    <w:p w14:paraId="3AB0B20D" w14:textId="77777777" w:rsidR="00A91A26" w:rsidRPr="00A91A26" w:rsidRDefault="00A91A26" w:rsidP="00A91A26">
      <w:pPr>
        <w:spacing w:after="0"/>
        <w:rPr>
          <w:rFonts w:ascii="Arial" w:hAnsi="Arial" w:cs="Arial"/>
          <w:b/>
          <w:sz w:val="18"/>
          <w:szCs w:val="18"/>
        </w:rPr>
      </w:pPr>
    </w:p>
    <w:p w14:paraId="162DE1DC" w14:textId="77777777" w:rsidR="00A91A26" w:rsidRDefault="00A91A26" w:rsidP="00A91A26">
      <w:pPr>
        <w:spacing w:after="0"/>
        <w:rPr>
          <w:rFonts w:ascii="Arial" w:hAnsi="Arial" w:cs="Arial"/>
          <w:b/>
          <w:sz w:val="18"/>
          <w:szCs w:val="18"/>
        </w:rPr>
      </w:pPr>
    </w:p>
    <w:p w14:paraId="798F4A68" w14:textId="77777777" w:rsidR="00A91A26" w:rsidRPr="00A91A26" w:rsidRDefault="00A91A26" w:rsidP="00A91A26">
      <w:pPr>
        <w:spacing w:after="0"/>
        <w:rPr>
          <w:rFonts w:ascii="Arial" w:hAnsi="Arial" w:cs="Arial"/>
          <w:b/>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7C8CF2B5" w:rsidR="00E252F1" w:rsidRPr="00926F3E" w:rsidRDefault="00E252F1" w:rsidP="00B52C70">
      <w:pPr>
        <w:spacing w:after="0"/>
        <w:rPr>
          <w:rFonts w:ascii="Arial" w:hAnsi="Arial" w:cs="Arial"/>
          <w:sz w:val="18"/>
          <w:szCs w:val="18"/>
        </w:rPr>
      </w:pPr>
      <w:r w:rsidRPr="00926F3E">
        <w:rPr>
          <w:rFonts w:ascii="Arial" w:hAnsi="Arial" w:cs="Arial"/>
          <w:sz w:val="18"/>
          <w:szCs w:val="18"/>
        </w:rPr>
        <w:t>Lindau Tourismus und Kongress GmbH</w:t>
      </w:r>
      <w:r w:rsidR="00B91F05">
        <w:rPr>
          <w:rFonts w:ascii="Arial" w:hAnsi="Arial" w:cs="Arial"/>
          <w:sz w:val="18"/>
          <w:szCs w:val="18"/>
        </w:rPr>
        <w:t xml:space="preserve"> </w:t>
      </w:r>
      <w:r w:rsidR="00FF56D2">
        <w:rPr>
          <w:rFonts w:ascii="Arial" w:hAnsi="Arial" w:cs="Arial"/>
          <w:sz w:val="18"/>
          <w:szCs w:val="18"/>
        </w:rPr>
        <w:t>|</w:t>
      </w:r>
      <w:r w:rsidR="00B91F05">
        <w:rPr>
          <w:rFonts w:ascii="Arial" w:hAnsi="Arial" w:cs="Arial"/>
          <w:sz w:val="18"/>
          <w:szCs w:val="18"/>
        </w:rPr>
        <w:t xml:space="preserve"> Kathrin Haas</w:t>
      </w:r>
    </w:p>
    <w:p w14:paraId="784980BD" w14:textId="2450A42F"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p>
    <w:p w14:paraId="36DCD736" w14:textId="44B76A61"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9"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77777777" w:rsidR="007E7EF5" w:rsidRPr="00E826D4" w:rsidRDefault="007E7EF5" w:rsidP="007E7EF5">
      <w:pPr>
        <w:spacing w:after="0"/>
        <w:rPr>
          <w:rFonts w:ascii="Arial" w:hAnsi="Arial" w:cs="Arial"/>
          <w:b/>
          <w:sz w:val="18"/>
          <w:szCs w:val="18"/>
        </w:rPr>
      </w:pPr>
      <w:r w:rsidRPr="00E826D4">
        <w:rPr>
          <w:rFonts w:ascii="Arial" w:hAnsi="Arial" w:cs="Arial"/>
          <w:b/>
          <w:sz w:val="18"/>
          <w:szCs w:val="18"/>
        </w:rPr>
        <w:t>Lindau in den sozialen Medien</w:t>
      </w:r>
      <w:r>
        <w:rPr>
          <w:rFonts w:ascii="Arial" w:hAnsi="Arial" w:cs="Arial"/>
          <w:b/>
          <w:sz w:val="18"/>
          <w:szCs w:val="18"/>
        </w:rPr>
        <w:t xml:space="preserve"> </w:t>
      </w:r>
    </w:p>
    <w:p w14:paraId="67578575" w14:textId="77777777" w:rsidR="007E7EF5" w:rsidRPr="00FF56D2" w:rsidRDefault="007E7EF5" w:rsidP="007E7EF5">
      <w:pPr>
        <w:spacing w:after="0"/>
        <w:rPr>
          <w:rFonts w:ascii="Arial" w:hAnsi="Arial" w:cs="Arial"/>
          <w:sz w:val="18"/>
          <w:szCs w:val="18"/>
        </w:rPr>
      </w:pPr>
      <w:r w:rsidRPr="00FF56D2">
        <w:rPr>
          <w:rFonts w:ascii="Arial" w:hAnsi="Arial" w:cs="Arial"/>
          <w:sz w:val="18"/>
          <w:szCs w:val="18"/>
        </w:rPr>
        <w:t>Instagram: @lindau_bodensee</w:t>
      </w:r>
    </w:p>
    <w:p w14:paraId="23A7B54B" w14:textId="77777777" w:rsidR="007E7EF5" w:rsidRPr="00FF56D2" w:rsidRDefault="007E7EF5" w:rsidP="007E7EF5">
      <w:pPr>
        <w:spacing w:after="0"/>
        <w:rPr>
          <w:rFonts w:ascii="Arial" w:hAnsi="Arial" w:cs="Arial"/>
          <w:sz w:val="18"/>
          <w:szCs w:val="18"/>
          <w:lang w:val="en-GB"/>
        </w:rPr>
      </w:pPr>
      <w:r w:rsidRPr="00FF56D2">
        <w:rPr>
          <w:rFonts w:ascii="Arial" w:hAnsi="Arial" w:cs="Arial"/>
          <w:sz w:val="18"/>
          <w:szCs w:val="18"/>
          <w:lang w:val="en-GB"/>
        </w:rPr>
        <w:t>Facebook: www.facebook.com/LindauTourismus</w:t>
      </w:r>
    </w:p>
    <w:p w14:paraId="7380692D" w14:textId="61DE86F3" w:rsidR="00E826D4" w:rsidRPr="007E7EF5" w:rsidRDefault="007E7EF5" w:rsidP="007E7EF5">
      <w:pPr>
        <w:spacing w:after="0"/>
        <w:rPr>
          <w:rFonts w:ascii="Arial" w:hAnsi="Arial" w:cs="Arial"/>
          <w:sz w:val="18"/>
          <w:szCs w:val="18"/>
          <w:lang w:val="en-GB"/>
        </w:rPr>
      </w:pPr>
      <w:r w:rsidRPr="00FF56D2">
        <w:rPr>
          <w:rFonts w:ascii="Arial" w:hAnsi="Arial" w:cs="Arial"/>
          <w:sz w:val="18"/>
          <w:szCs w:val="18"/>
          <w:lang w:val="en-GB"/>
        </w:rPr>
        <w:t>Hashtags: #lindau</w:t>
      </w:r>
      <w:r w:rsidR="00A91A26">
        <w:rPr>
          <w:rFonts w:ascii="Arial" w:hAnsi="Arial" w:cs="Arial"/>
          <w:sz w:val="18"/>
          <w:szCs w:val="18"/>
          <w:lang w:val="en-GB"/>
        </w:rPr>
        <w:t>liebe #visitlindau #lindaubodensee</w:t>
      </w:r>
      <w:r w:rsidRPr="00FF56D2">
        <w:rPr>
          <w:rFonts w:ascii="Arial" w:hAnsi="Arial" w:cs="Arial"/>
          <w:sz w:val="18"/>
          <w:szCs w:val="18"/>
          <w:lang w:val="en-GB"/>
        </w:rPr>
        <w:t xml:space="preserve"> </w:t>
      </w:r>
    </w:p>
    <w:sectPr w:rsidR="00E826D4" w:rsidRPr="007E7EF5" w:rsidSect="00A91A26">
      <w:headerReference w:type="default" r:id="rId10"/>
      <w:footerReference w:type="default" r:id="rId11"/>
      <w:headerReference w:type="first" r:id="rId12"/>
      <w:footerReference w:type="first" r:id="rId13"/>
      <w:pgSz w:w="11906" w:h="16838"/>
      <w:pgMar w:top="1985" w:right="1276" w:bottom="1418"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270A" w14:textId="77777777" w:rsidR="00BE03D1" w:rsidRDefault="00BE03D1" w:rsidP="00106682">
      <w:pPr>
        <w:spacing w:after="0" w:line="240" w:lineRule="auto"/>
      </w:pPr>
      <w:r>
        <w:separator/>
      </w:r>
    </w:p>
  </w:endnote>
  <w:endnote w:type="continuationSeparator" w:id="0">
    <w:p w14:paraId="74F0D6F6" w14:textId="77777777" w:rsidR="00BE03D1" w:rsidRDefault="00BE03D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4374" w14:textId="77777777" w:rsidR="00BE03D1" w:rsidRDefault="00BE03D1" w:rsidP="00106682">
      <w:pPr>
        <w:spacing w:after="0" w:line="240" w:lineRule="auto"/>
      </w:pPr>
      <w:r>
        <w:separator/>
      </w:r>
    </w:p>
  </w:footnote>
  <w:footnote w:type="continuationSeparator" w:id="0">
    <w:p w14:paraId="1C08FD67" w14:textId="77777777" w:rsidR="00BE03D1" w:rsidRDefault="00BE03D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4896"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69DDF593" w:rsidR="00782BC0" w:rsidRDefault="00CC45B3" w:rsidP="00117DBC">
    <w:pPr>
      <w:pStyle w:val="Kopfzeile"/>
      <w:spacing w:line="360" w:lineRule="auto"/>
      <w:rPr>
        <w:rFonts w:ascii="Arial" w:hAnsi="Arial" w:cs="Arial"/>
      </w:rPr>
    </w:pPr>
    <w:r>
      <w:rPr>
        <w:rFonts w:ascii="Arial" w:hAnsi="Arial" w:cs="Arial"/>
      </w:rPr>
      <w:t>20.09</w:t>
    </w:r>
    <w:r w:rsidR="00683021">
      <w:rPr>
        <w:rFonts w:ascii="Arial" w:hAnsi="Arial" w:cs="Arial"/>
      </w:rPr>
      <w:t>.</w:t>
    </w:r>
    <w:r w:rsidR="00782BC0">
      <w:rPr>
        <w:rFonts w:ascii="Arial" w:hAnsi="Arial" w:cs="Arial"/>
      </w:rPr>
      <w:t>202</w:t>
    </w:r>
    <w:r w:rsidR="00846B47">
      <w:rPr>
        <w:rFonts w:ascii="Arial" w:hAnsi="Arial" w:cs="Arial"/>
      </w:rPr>
      <w:t>3</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1C3C"/>
    <w:rsid w:val="000D6191"/>
    <w:rsid w:val="000E21CF"/>
    <w:rsid w:val="000F288F"/>
    <w:rsid w:val="000F7557"/>
    <w:rsid w:val="00100612"/>
    <w:rsid w:val="00102D0C"/>
    <w:rsid w:val="001033C7"/>
    <w:rsid w:val="00106682"/>
    <w:rsid w:val="001105F4"/>
    <w:rsid w:val="00112D2D"/>
    <w:rsid w:val="001157FC"/>
    <w:rsid w:val="0011623C"/>
    <w:rsid w:val="00117DBC"/>
    <w:rsid w:val="00122A80"/>
    <w:rsid w:val="0013197E"/>
    <w:rsid w:val="001379C3"/>
    <w:rsid w:val="00145FD7"/>
    <w:rsid w:val="0017365F"/>
    <w:rsid w:val="00175AEE"/>
    <w:rsid w:val="001905C3"/>
    <w:rsid w:val="001913A4"/>
    <w:rsid w:val="00193A01"/>
    <w:rsid w:val="00195185"/>
    <w:rsid w:val="00195CC9"/>
    <w:rsid w:val="001964C0"/>
    <w:rsid w:val="001A4BBE"/>
    <w:rsid w:val="001A69D6"/>
    <w:rsid w:val="001B3E94"/>
    <w:rsid w:val="001B6921"/>
    <w:rsid w:val="001C0972"/>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56069"/>
    <w:rsid w:val="003624E7"/>
    <w:rsid w:val="00362517"/>
    <w:rsid w:val="0036636F"/>
    <w:rsid w:val="003673C3"/>
    <w:rsid w:val="00367FF1"/>
    <w:rsid w:val="00396FCE"/>
    <w:rsid w:val="003A5773"/>
    <w:rsid w:val="003B405C"/>
    <w:rsid w:val="003B7016"/>
    <w:rsid w:val="003C1412"/>
    <w:rsid w:val="003C3117"/>
    <w:rsid w:val="003C32D2"/>
    <w:rsid w:val="003C6179"/>
    <w:rsid w:val="003D2C17"/>
    <w:rsid w:val="003E0B36"/>
    <w:rsid w:val="003F05BC"/>
    <w:rsid w:val="00401E4A"/>
    <w:rsid w:val="00413055"/>
    <w:rsid w:val="00413D9C"/>
    <w:rsid w:val="004164BB"/>
    <w:rsid w:val="00431CD5"/>
    <w:rsid w:val="004335E6"/>
    <w:rsid w:val="004378D7"/>
    <w:rsid w:val="0044109C"/>
    <w:rsid w:val="0044120B"/>
    <w:rsid w:val="00457FAD"/>
    <w:rsid w:val="00465F1A"/>
    <w:rsid w:val="0046620A"/>
    <w:rsid w:val="00471F26"/>
    <w:rsid w:val="00473DFF"/>
    <w:rsid w:val="00473F83"/>
    <w:rsid w:val="00474900"/>
    <w:rsid w:val="004843AA"/>
    <w:rsid w:val="00485A28"/>
    <w:rsid w:val="004900AB"/>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0E59"/>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2F2A"/>
    <w:rsid w:val="00826750"/>
    <w:rsid w:val="0082720B"/>
    <w:rsid w:val="00827601"/>
    <w:rsid w:val="0082796C"/>
    <w:rsid w:val="0083309D"/>
    <w:rsid w:val="00837B1F"/>
    <w:rsid w:val="00845A1B"/>
    <w:rsid w:val="00846B47"/>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8F60E7"/>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878FF"/>
    <w:rsid w:val="00A91A26"/>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1F05"/>
    <w:rsid w:val="00B962C7"/>
    <w:rsid w:val="00BA238C"/>
    <w:rsid w:val="00BB4132"/>
    <w:rsid w:val="00BB7071"/>
    <w:rsid w:val="00BB7762"/>
    <w:rsid w:val="00BD15BB"/>
    <w:rsid w:val="00BD287F"/>
    <w:rsid w:val="00BE03D1"/>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45B3"/>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29A7"/>
    <w:rsid w:val="00F23E0D"/>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 w:type="paragraph" w:styleId="berarbeitung">
    <w:name w:val="Revision"/>
    <w:hidden/>
    <w:uiPriority w:val="99"/>
    <w:semiHidden/>
    <w:rsid w:val="001C0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76564662">
      <w:bodyDiv w:val="1"/>
      <w:marLeft w:val="0"/>
      <w:marRight w:val="0"/>
      <w:marTop w:val="0"/>
      <w:marBottom w:val="0"/>
      <w:divBdr>
        <w:top w:val="none" w:sz="0" w:space="0" w:color="auto"/>
        <w:left w:val="none" w:sz="0" w:space="0" w:color="auto"/>
        <w:bottom w:val="none" w:sz="0" w:space="0" w:color="auto"/>
        <w:right w:val="none" w:sz="0" w:space="0" w:color="auto"/>
      </w:divBdr>
    </w:div>
    <w:div w:id="119496852">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27953705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94049794">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81696998">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645574432">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indau-tourism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dc:creator>
  <cp:lastModifiedBy>Camilla Schuster</cp:lastModifiedBy>
  <cp:revision>3</cp:revision>
  <cp:lastPrinted>2022-08-25T08:44:00Z</cp:lastPrinted>
  <dcterms:created xsi:type="dcterms:W3CDTF">2023-07-16T20:25:00Z</dcterms:created>
  <dcterms:modified xsi:type="dcterms:W3CDTF">2023-09-20T12:40:00Z</dcterms:modified>
</cp:coreProperties>
</file>